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886" w:rsidRPr="002A558C" w:rsidRDefault="002A558C" w:rsidP="00A048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558C">
        <w:rPr>
          <w:rFonts w:ascii="Times New Roman" w:hAnsi="Times New Roman" w:cs="Times New Roman"/>
          <w:sz w:val="28"/>
          <w:szCs w:val="28"/>
        </w:rPr>
        <w:t>ЛЕКЦИЯ №7</w:t>
      </w:r>
    </w:p>
    <w:p w:rsidR="002A558C" w:rsidRPr="002A558C" w:rsidRDefault="002A558C" w:rsidP="00A048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04886" w:rsidRPr="002A558C" w:rsidRDefault="002A558C" w:rsidP="00A048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A558C">
        <w:rPr>
          <w:rFonts w:ascii="Times New Roman" w:hAnsi="Times New Roman" w:cs="Times New Roman"/>
          <w:sz w:val="28"/>
          <w:szCs w:val="28"/>
        </w:rPr>
        <w:t>СПОСОБЫ КАРТОГРАФИЧЕСКОГО ИЗОБРАЖЕНИЯ НА ГЕОГРАФИЧЕСКИХ КАРТАХ</w:t>
      </w:r>
    </w:p>
    <w:p w:rsidR="00A04886" w:rsidRPr="002A558C" w:rsidRDefault="00A04886" w:rsidP="00A04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Картографические обозначения (условные знаки) передают содержание карты, то есть совокупность заключённых в ней сведений о реальной действительности.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 xml:space="preserve">При создании карты выбор и разработку системы картографических обозначений производят, из назначения карты, </w:t>
      </w:r>
      <w:r w:rsidRPr="00A04886">
        <w:rPr>
          <w:sz w:val="28"/>
          <w:szCs w:val="28"/>
          <w:lang w:val="ru-MO"/>
        </w:rPr>
        <w:t>её темы</w:t>
      </w:r>
      <w:r w:rsidRPr="00A04886">
        <w:rPr>
          <w:sz w:val="28"/>
          <w:szCs w:val="28"/>
        </w:rPr>
        <w:t>, масштаба и проектируемого содержания.</w:t>
      </w:r>
      <w:r w:rsidRPr="00A04886">
        <w:rPr>
          <w:color w:val="000000"/>
          <w:spacing w:val="1"/>
          <w:sz w:val="28"/>
          <w:szCs w:val="28"/>
        </w:rPr>
        <w:t xml:space="preserve"> </w:t>
      </w:r>
      <w:proofErr w:type="gramStart"/>
      <w:r w:rsidRPr="00A04886">
        <w:rPr>
          <w:color w:val="000000"/>
          <w:spacing w:val="1"/>
          <w:sz w:val="28"/>
          <w:szCs w:val="28"/>
        </w:rPr>
        <w:t>Используют различные способы картографирова</w:t>
      </w:r>
      <w:r w:rsidRPr="00A04886">
        <w:rPr>
          <w:color w:val="000000"/>
          <w:spacing w:val="2"/>
          <w:sz w:val="28"/>
          <w:szCs w:val="28"/>
        </w:rPr>
        <w:t xml:space="preserve">ния: </w:t>
      </w:r>
      <w:r w:rsidRPr="00A04886">
        <w:rPr>
          <w:i/>
          <w:iCs/>
          <w:color w:val="000000"/>
          <w:spacing w:val="2"/>
          <w:sz w:val="28"/>
          <w:szCs w:val="28"/>
        </w:rPr>
        <w:t xml:space="preserve">способы ареалов, качественного фона, точечный, изолиний, </w:t>
      </w:r>
      <w:r w:rsidRPr="00A04886">
        <w:rPr>
          <w:i/>
          <w:iCs/>
          <w:color w:val="000000"/>
          <w:spacing w:val="1"/>
          <w:sz w:val="28"/>
          <w:szCs w:val="28"/>
        </w:rPr>
        <w:t>значков, локализованных диаграмм, картодиаграмм, картограмм, линейных знаков и знаков движения.</w:t>
      </w:r>
      <w:proofErr w:type="gramEnd"/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  <w:lang w:val="ru-MO"/>
        </w:rPr>
      </w:pPr>
      <w:r w:rsidRPr="00A04886">
        <w:rPr>
          <w:sz w:val="28"/>
          <w:szCs w:val="28"/>
        </w:rPr>
        <w:t xml:space="preserve">Но как только обозначения установлены, они, в порядке обратного воздействия, начинают обуславливать содержание карты, его объём, </w:t>
      </w:r>
      <w:r w:rsidRPr="00A04886">
        <w:rPr>
          <w:sz w:val="28"/>
          <w:szCs w:val="28"/>
          <w:lang w:val="ru-MO"/>
        </w:rPr>
        <w:t xml:space="preserve">а </w:t>
      </w:r>
      <w:r w:rsidRPr="00A04886">
        <w:rPr>
          <w:sz w:val="28"/>
          <w:szCs w:val="28"/>
        </w:rPr>
        <w:t>также возможность передачи особенностей географических объектов</w:t>
      </w:r>
      <w:r w:rsidRPr="00A04886">
        <w:rPr>
          <w:sz w:val="28"/>
          <w:szCs w:val="28"/>
          <w:lang w:val="ru-MO"/>
        </w:rPr>
        <w:t>, явлений и их связей:</w:t>
      </w:r>
    </w:p>
    <w:p w:rsidR="00A04886" w:rsidRPr="00A04886" w:rsidRDefault="00A04886" w:rsidP="00A04886">
      <w:pPr>
        <w:pStyle w:val="a3"/>
        <w:numPr>
          <w:ilvl w:val="0"/>
          <w:numId w:val="1"/>
        </w:numPr>
        <w:ind w:left="0" w:firstLine="720"/>
        <w:jc w:val="both"/>
        <w:rPr>
          <w:sz w:val="28"/>
          <w:szCs w:val="28"/>
          <w:lang w:val="ru-MO"/>
        </w:rPr>
      </w:pPr>
      <w:r w:rsidRPr="00A04886">
        <w:rPr>
          <w:sz w:val="28"/>
          <w:szCs w:val="28"/>
          <w:lang w:val="ru-MO"/>
        </w:rPr>
        <w:t>Облегчают чтение карт</w:t>
      </w:r>
    </w:p>
    <w:p w:rsidR="00A04886" w:rsidRPr="00A04886" w:rsidRDefault="00A04886" w:rsidP="00A04886">
      <w:pPr>
        <w:pStyle w:val="a3"/>
        <w:numPr>
          <w:ilvl w:val="0"/>
          <w:numId w:val="1"/>
        </w:numPr>
        <w:ind w:left="0" w:firstLine="720"/>
        <w:jc w:val="both"/>
        <w:rPr>
          <w:sz w:val="28"/>
          <w:szCs w:val="28"/>
          <w:lang w:val="ru-MO"/>
        </w:rPr>
      </w:pPr>
      <w:r w:rsidRPr="00A04886">
        <w:rPr>
          <w:sz w:val="28"/>
          <w:szCs w:val="28"/>
          <w:lang w:val="ru-MO"/>
        </w:rPr>
        <w:t>Усвоение содержания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  <w:lang w:val="ru-MO"/>
        </w:rPr>
        <w:t>С 18 века перспективные знаки были заменены горизонтальной проекцией предметов</w:t>
      </w:r>
      <w:r w:rsidRPr="00A04886">
        <w:rPr>
          <w:sz w:val="28"/>
          <w:szCs w:val="28"/>
        </w:rPr>
        <w:t xml:space="preserve">, внутри которой наносились </w:t>
      </w:r>
      <w:r w:rsidRPr="00A04886">
        <w:rPr>
          <w:sz w:val="28"/>
          <w:szCs w:val="28"/>
          <w:u w:val="single"/>
        </w:rPr>
        <w:t>площадные обозначения</w:t>
      </w:r>
      <w:r w:rsidRPr="00A04886">
        <w:rPr>
          <w:sz w:val="28"/>
          <w:szCs w:val="28"/>
        </w:rPr>
        <w:t>:</w:t>
      </w:r>
    </w:p>
    <w:p w:rsidR="00A04886" w:rsidRPr="00A04886" w:rsidRDefault="00A04886" w:rsidP="00A04886">
      <w:pPr>
        <w:pStyle w:val="a3"/>
        <w:numPr>
          <w:ilvl w:val="0"/>
          <w:numId w:val="2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Значки</w:t>
      </w:r>
    </w:p>
    <w:p w:rsidR="00A04886" w:rsidRPr="00A04886" w:rsidRDefault="00A04886" w:rsidP="00A04886">
      <w:pPr>
        <w:pStyle w:val="a3"/>
        <w:numPr>
          <w:ilvl w:val="0"/>
          <w:numId w:val="2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Расцветка сплошная (</w:t>
      </w:r>
      <w:proofErr w:type="spellStart"/>
      <w:r w:rsidRPr="00A04886">
        <w:rPr>
          <w:sz w:val="28"/>
          <w:szCs w:val="28"/>
        </w:rPr>
        <w:t>голубая</w:t>
      </w:r>
      <w:proofErr w:type="spellEnd"/>
      <w:r w:rsidRPr="00A04886">
        <w:rPr>
          <w:sz w:val="28"/>
          <w:szCs w:val="28"/>
        </w:rPr>
        <w:t>)</w:t>
      </w:r>
    </w:p>
    <w:p w:rsidR="00A04886" w:rsidRPr="00A04886" w:rsidRDefault="00A04886" w:rsidP="00A04886">
      <w:pPr>
        <w:pStyle w:val="a3"/>
        <w:numPr>
          <w:ilvl w:val="0"/>
          <w:numId w:val="2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Штриховки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что даёт представление о местоположении, очертаниях, протяжённости и площади объекта. Затем дополнили качественные и количественные различия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  <w:u w:val="single"/>
        </w:rPr>
        <w:t xml:space="preserve">Линейные обозначения </w:t>
      </w:r>
      <w:r w:rsidRPr="00A04886">
        <w:rPr>
          <w:sz w:val="28"/>
          <w:szCs w:val="28"/>
        </w:rPr>
        <w:t>– сохраняют форму линейных очертаний, но могут преувеличивать ширину линейного объекта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  <w:u w:val="single"/>
        </w:rPr>
        <w:t>Точечные обозначения</w:t>
      </w:r>
      <w:r w:rsidRPr="00A04886">
        <w:rPr>
          <w:sz w:val="28"/>
          <w:szCs w:val="28"/>
        </w:rPr>
        <w:t xml:space="preserve"> – с помощью внемасштабных знаков (к ним относятся и линейные).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 xml:space="preserve">Подобно </w:t>
      </w:r>
      <w:proofErr w:type="gramStart"/>
      <w:r w:rsidRPr="00A04886">
        <w:rPr>
          <w:sz w:val="28"/>
          <w:szCs w:val="28"/>
        </w:rPr>
        <w:t>площадным</w:t>
      </w:r>
      <w:proofErr w:type="gramEnd"/>
      <w:r w:rsidRPr="00A04886">
        <w:rPr>
          <w:sz w:val="28"/>
          <w:szCs w:val="28"/>
          <w:lang w:val="ru-MO"/>
        </w:rPr>
        <w:t>, и</w:t>
      </w:r>
      <w:r w:rsidRPr="00A04886">
        <w:rPr>
          <w:sz w:val="28"/>
          <w:szCs w:val="28"/>
        </w:rPr>
        <w:t xml:space="preserve"> линейные обозначения и внемасштабные знаки выполняют функции двоякого рода:</w:t>
      </w:r>
    </w:p>
    <w:p w:rsidR="00A04886" w:rsidRPr="00A04886" w:rsidRDefault="00A04886" w:rsidP="00A04886">
      <w:pPr>
        <w:pStyle w:val="a3"/>
        <w:numPr>
          <w:ilvl w:val="0"/>
          <w:numId w:val="3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Указывают местоположение линейного объекта</w:t>
      </w:r>
    </w:p>
    <w:p w:rsidR="00A04886" w:rsidRPr="00A04886" w:rsidRDefault="00A04886" w:rsidP="00A04886">
      <w:pPr>
        <w:pStyle w:val="a3"/>
        <w:numPr>
          <w:ilvl w:val="0"/>
          <w:numId w:val="3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Определяют вид объекта и могут отражать характеристики качества и количества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proofErr w:type="gramStart"/>
      <w:r w:rsidRPr="00A04886">
        <w:rPr>
          <w:sz w:val="28"/>
          <w:szCs w:val="28"/>
        </w:rPr>
        <w:t>Кроме</w:t>
      </w:r>
      <w:proofErr w:type="gramEnd"/>
      <w:r w:rsidRPr="00A04886">
        <w:rPr>
          <w:sz w:val="28"/>
          <w:szCs w:val="28"/>
        </w:rPr>
        <w:t xml:space="preserve"> </w:t>
      </w:r>
      <w:proofErr w:type="gramStart"/>
      <w:r w:rsidRPr="00A04886">
        <w:rPr>
          <w:sz w:val="28"/>
          <w:szCs w:val="28"/>
        </w:rPr>
        <w:t>локализованных</w:t>
      </w:r>
      <w:proofErr w:type="gramEnd"/>
      <w:r w:rsidRPr="00A04886">
        <w:rPr>
          <w:sz w:val="28"/>
          <w:szCs w:val="28"/>
        </w:rPr>
        <w:t xml:space="preserve"> по пунктам, на линиях и площадях, существуют явления:</w:t>
      </w:r>
    </w:p>
    <w:p w:rsidR="00A04886" w:rsidRPr="00A04886" w:rsidRDefault="00A04886" w:rsidP="00A04886">
      <w:pPr>
        <w:pStyle w:val="a3"/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Сплошного распространения</w:t>
      </w:r>
    </w:p>
    <w:p w:rsidR="00A04886" w:rsidRPr="00A04886" w:rsidRDefault="00A04886" w:rsidP="00A04886">
      <w:pPr>
        <w:pStyle w:val="a3"/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Непрерывного</w:t>
      </w:r>
    </w:p>
    <w:p w:rsidR="00A04886" w:rsidRPr="00A04886" w:rsidRDefault="00A04886" w:rsidP="00A04886">
      <w:pPr>
        <w:pStyle w:val="a3"/>
        <w:numPr>
          <w:ilvl w:val="0"/>
          <w:numId w:val="4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Постепенно изменяющегося в пространстве (рельеф</w:t>
      </w:r>
      <w:r w:rsidRPr="00A04886">
        <w:rPr>
          <w:sz w:val="28"/>
          <w:szCs w:val="28"/>
          <w:lang w:val="ru-MO"/>
        </w:rPr>
        <w:t>, магнитное склонение, массовое расселение сельского населения, животных)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lastRenderedPageBreak/>
        <w:t>Роль картографических обозначений выполняют подписи и цифровые значения.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 xml:space="preserve">Картографические знаки различаются между собой </w:t>
      </w:r>
      <w:proofErr w:type="gramStart"/>
      <w:r w:rsidRPr="00A04886">
        <w:rPr>
          <w:sz w:val="28"/>
          <w:szCs w:val="28"/>
        </w:rPr>
        <w:t>по</w:t>
      </w:r>
      <w:proofErr w:type="gramEnd"/>
      <w:r w:rsidRPr="00A04886">
        <w:rPr>
          <w:sz w:val="28"/>
          <w:szCs w:val="28"/>
        </w:rPr>
        <w:t>:</w:t>
      </w:r>
    </w:p>
    <w:p w:rsidR="00A04886" w:rsidRPr="00A04886" w:rsidRDefault="00A04886" w:rsidP="00A04886">
      <w:pPr>
        <w:pStyle w:val="a3"/>
        <w:numPr>
          <w:ilvl w:val="0"/>
          <w:numId w:val="5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Рисунку (форме)</w:t>
      </w:r>
    </w:p>
    <w:p w:rsidR="00A04886" w:rsidRPr="00A04886" w:rsidRDefault="00A04886" w:rsidP="00A04886">
      <w:pPr>
        <w:pStyle w:val="a3"/>
        <w:numPr>
          <w:ilvl w:val="0"/>
          <w:numId w:val="5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Величине (размеру)</w:t>
      </w:r>
    </w:p>
    <w:p w:rsidR="00A04886" w:rsidRPr="00A04886" w:rsidRDefault="00A04886" w:rsidP="00A04886">
      <w:pPr>
        <w:pStyle w:val="a3"/>
        <w:numPr>
          <w:ilvl w:val="0"/>
          <w:numId w:val="5"/>
        </w:numPr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Цвету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Такая система обозначений позволяет выявлять на карте частные соотношения и устанавливать одновременно общие закономерности пространственное размещение явлений.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Очень существенным является выразительность карты: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1.основных элементов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2.главных объектов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Легкости чтения - наглядность, зрительная ассоциация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proofErr w:type="spellStart"/>
      <w:r w:rsidRPr="00A04886">
        <w:rPr>
          <w:sz w:val="28"/>
          <w:szCs w:val="28"/>
        </w:rPr>
        <w:t>Топокарты</w:t>
      </w:r>
      <w:proofErr w:type="spellEnd"/>
      <w:r w:rsidRPr="00A04886">
        <w:rPr>
          <w:sz w:val="28"/>
          <w:szCs w:val="28"/>
        </w:rPr>
        <w:t xml:space="preserve"> – размещение явлений местности.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Специальные карты отображают: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1.перемещение – линии фронтов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2.развитие (изменение) – годовой ход температуры, расширения.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«Язык карты» - это рисунок и краски.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Стандартные системы обозначений с течением времени усовершенствуются: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1.исключ</w:t>
      </w:r>
      <w:proofErr w:type="spellStart"/>
      <w:r w:rsidRPr="00A04886">
        <w:rPr>
          <w:sz w:val="28"/>
          <w:szCs w:val="28"/>
          <w:lang w:val="ru-MO"/>
        </w:rPr>
        <w:t>ают</w:t>
      </w:r>
      <w:proofErr w:type="spellEnd"/>
      <w:r w:rsidRPr="00A04886">
        <w:rPr>
          <w:sz w:val="28"/>
          <w:szCs w:val="28"/>
          <w:lang w:val="ru-MO"/>
        </w:rPr>
        <w:t xml:space="preserve"> </w:t>
      </w:r>
      <w:r w:rsidRPr="00A04886">
        <w:rPr>
          <w:sz w:val="28"/>
          <w:szCs w:val="28"/>
        </w:rPr>
        <w:t>устаревшие обозначения</w:t>
      </w:r>
      <w:r w:rsidRPr="00A04886">
        <w:rPr>
          <w:sz w:val="28"/>
          <w:szCs w:val="28"/>
          <w:lang w:val="ru-MO"/>
        </w:rPr>
        <w:t>;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2.изменение смысла значений</w:t>
      </w:r>
      <w:r w:rsidRPr="00A04886">
        <w:rPr>
          <w:sz w:val="28"/>
          <w:szCs w:val="28"/>
          <w:lang w:val="ru-MO"/>
        </w:rPr>
        <w:t>;</w:t>
      </w:r>
    </w:p>
    <w:p w:rsidR="00A04886" w:rsidRPr="00A04886" w:rsidRDefault="00A04886" w:rsidP="00A04886">
      <w:pPr>
        <w:pStyle w:val="a3"/>
        <w:ind w:left="0" w:firstLine="720"/>
        <w:jc w:val="both"/>
        <w:rPr>
          <w:sz w:val="28"/>
          <w:szCs w:val="28"/>
        </w:rPr>
      </w:pPr>
      <w:r w:rsidRPr="00A04886">
        <w:rPr>
          <w:sz w:val="28"/>
          <w:szCs w:val="28"/>
        </w:rPr>
        <w:t>3.расширение области применения.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С материалом этого раздела следует знакомиться путем анализа и оценки способов изображения явлений на картах разного содержания;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- изучения территории по картам и составления географических описаний участков местности по одной или нескольким картам;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- комплексного изучения и описания карт и атласов;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- составления профилей, схем и тематических карт.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 xml:space="preserve">По содержанию географические карты подразделяют </w:t>
      </w:r>
      <w:proofErr w:type="gramStart"/>
      <w:r w:rsidRPr="00A04886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A04886">
        <w:rPr>
          <w:rFonts w:ascii="Times New Roman" w:hAnsi="Times New Roman" w:cs="Times New Roman"/>
          <w:color w:val="000000"/>
          <w:sz w:val="28"/>
          <w:szCs w:val="28"/>
        </w:rPr>
        <w:t xml:space="preserve"> общегеографические и специальные (тематические). К </w:t>
      </w:r>
      <w:proofErr w:type="gramStart"/>
      <w:r w:rsidRPr="00A04886">
        <w:rPr>
          <w:rFonts w:ascii="Times New Roman" w:hAnsi="Times New Roman" w:cs="Times New Roman"/>
          <w:color w:val="000000"/>
          <w:sz w:val="28"/>
          <w:szCs w:val="28"/>
        </w:rPr>
        <w:t>общегеографическим</w:t>
      </w:r>
      <w:proofErr w:type="gramEnd"/>
      <w:r w:rsidRPr="00A04886">
        <w:rPr>
          <w:rFonts w:ascii="Times New Roman" w:hAnsi="Times New Roman" w:cs="Times New Roman"/>
          <w:color w:val="000000"/>
          <w:sz w:val="28"/>
          <w:szCs w:val="28"/>
        </w:rPr>
        <w:t xml:space="preserve"> относят карты топографические, обзорно-топографические и обзорные. Специальные карты включают большое число видов карт, весьма разнообразных по тематике (например, карты геологические, растительности, климатические, карты населения, хозяйства и т. д.).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Широта темы карт и степень подробности отображения содержания различны в разных типах карт. Карты узкой темы называют отраслевыми или частными, карты, дающие общую характеристику явления, — общими.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По степени обобщения содержания выделяют карты аналитические, имеющие малообобщенные показатели, — это карты-наблюдения на данный момент. Наиболее обобщены синтетические карты, характеризующие явления в целом на основе слияния ряда показателей. На комплексных картах (в отличие от синтетических) совмещено одновременно несколько явлений с учетом их взаимосвязей, — это как бы многоотраслевые карты.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Способы картографического изображения приведены в таблице Способы изображения, употребляющиеся на специальных картах (по К. А. </w:t>
      </w:r>
      <w:proofErr w:type="spellStart"/>
      <w:r w:rsidRPr="00A04886">
        <w:rPr>
          <w:rFonts w:ascii="Times New Roman" w:hAnsi="Times New Roman" w:cs="Times New Roman"/>
          <w:color w:val="000000"/>
          <w:sz w:val="28"/>
          <w:szCs w:val="28"/>
        </w:rPr>
        <w:t>Салищеву</w:t>
      </w:r>
      <w:proofErr w:type="spellEnd"/>
      <w:r w:rsidRPr="00A04886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Таблица 2</w:t>
      </w:r>
    </w:p>
    <w:tbl>
      <w:tblPr>
        <w:tblW w:w="0" w:type="auto"/>
        <w:tblInd w:w="108" w:type="dxa"/>
        <w:tblLook w:val="01E0"/>
      </w:tblPr>
      <w:tblGrid>
        <w:gridCol w:w="2340"/>
        <w:gridCol w:w="2700"/>
        <w:gridCol w:w="4423"/>
      </w:tblGrid>
      <w:tr w:rsidR="00A04886" w:rsidRPr="00A04886" w:rsidTr="00643026"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Характер размещения явлений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Что передаётся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Употребляемые способы изображения</w:t>
            </w:r>
          </w:p>
        </w:tc>
      </w:tr>
      <w:tr w:rsidR="00A04886" w:rsidRPr="00A04886" w:rsidTr="00643026"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Локализованный</w:t>
            </w:r>
            <w:proofErr w:type="gramEnd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 xml:space="preserve"> по пунктам (в точках)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Состояние в определенный момент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Способ значков (внемасштабные знаки)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Перемещение (движение)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Линии движения (часто в сочетании со способом значков)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Изменение во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Значки, локализованные диаграммы</w:t>
            </w:r>
          </w:p>
        </w:tc>
      </w:tr>
      <w:tr w:rsidR="00A04886" w:rsidRPr="00A04886" w:rsidTr="00643026"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Локализованный</w:t>
            </w:r>
            <w:proofErr w:type="gramEnd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 xml:space="preserve"> на линиях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Состояние в определенный момент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Линейные знаки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Перемещение (движение)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Сочетание линейных знаков, иногда совместно со знаками движения; изолинии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Изменение во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Совмещение линейных знаков</w:t>
            </w:r>
          </w:p>
        </w:tc>
      </w:tr>
      <w:tr w:rsidR="00A04886" w:rsidRPr="00A04886" w:rsidTr="00643026"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Локализованный</w:t>
            </w:r>
            <w:proofErr w:type="gramEnd"/>
            <w:r w:rsidRPr="00A04886">
              <w:rPr>
                <w:rFonts w:ascii="Times New Roman" w:hAnsi="Times New Roman" w:cs="Times New Roman"/>
                <w:sz w:val="24"/>
                <w:szCs w:val="24"/>
              </w:rPr>
              <w:t xml:space="preserve"> на площадях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Состояние в определенный момент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Качественный фон, изолинии, совокупность локализованных диаграмм, ареалы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Перемещение (движение)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Сочетание ареалов, изолинии, знаки движения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Изменение во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Изолинии, совокупность локализованных диаграмм</w:t>
            </w:r>
          </w:p>
        </w:tc>
      </w:tr>
      <w:tr w:rsidR="00A04886" w:rsidRPr="00A04886" w:rsidTr="00643026"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Рассеянный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Состояние в определенный момент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Точечный способ, качественный фон, ареалы, картодиаграммы и картограммы (при суммарной характеристике по территориальным единицам)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Перемещение (движение)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Сочетание ареалов, знаки движения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Изменение во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Точечный способ, сочетание ареалов, картодиаграммы, картограммы (при суммарной характеристике по территориальным единицам)</w:t>
            </w:r>
          </w:p>
        </w:tc>
      </w:tr>
      <w:tr w:rsidR="00A04886" w:rsidRPr="00A04886" w:rsidTr="00643026"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Сплошной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Состояние в определенный момент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Качественный фон, изолинии, совокупность локализованных диаграмм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Перемещение (движение)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Сочетание ареалов, знаки движения</w:t>
            </w:r>
          </w:p>
        </w:tc>
      </w:tr>
      <w:tr w:rsidR="00A04886" w:rsidRPr="00A04886" w:rsidTr="0064302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886" w:rsidRPr="00A04886" w:rsidRDefault="00A04886" w:rsidP="00A048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Изменение во времени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4886" w:rsidRPr="00A04886" w:rsidRDefault="00A04886" w:rsidP="00A048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886">
              <w:rPr>
                <w:rFonts w:ascii="Times New Roman" w:hAnsi="Times New Roman" w:cs="Times New Roman"/>
                <w:sz w:val="24"/>
                <w:szCs w:val="24"/>
              </w:rPr>
              <w:t>Изолинии, совокупность локализованных диаграмм</w:t>
            </w:r>
          </w:p>
        </w:tc>
      </w:tr>
    </w:tbl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 xml:space="preserve">Рельеф суши и морского дна имеет сплошное распространение по земной поверхности, поэтому для его изображения на картах могут применяться способ изолиний (горизонталей — изогипс, изобат), способ качественного фона и пластические способы. Изолинии на мелкомасштабных картах обычно дополняются цветной окраской промежутков между </w:t>
      </w:r>
      <w:r w:rsidRPr="00A04886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определенными горизонталями. Благодаря этой послойной, или гипсометрической, окраске выявляются высотные зоны рельефа, а при удачном подборе цветов передается пластика, выпуклость рельефа, и карта становится более наглядной. Основные формы рельефа, расчлененность разных высотных поясов могут быть выявлены и еще более подчеркнуты с помощью пластического приема — отмывки. Шкала расцветки высотных слоев (гипсометрическая шкала) обычно включает несколько цветов; принципы подбора и сочетания цветовых тонов пока еще прочно не установлены и различны на разных картах.</w:t>
      </w:r>
    </w:p>
    <w:p w:rsidR="00A04886" w:rsidRPr="00A04886" w:rsidRDefault="00A04886" w:rsidP="00A0488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04886">
        <w:rPr>
          <w:rFonts w:ascii="Times New Roman" w:hAnsi="Times New Roman" w:cs="Times New Roman"/>
          <w:color w:val="000000"/>
          <w:sz w:val="28"/>
          <w:szCs w:val="28"/>
        </w:rPr>
        <w:t>На специальных картах рельефа наряду со способом изолиний для его количественных характеристик может применяться также и способ качественного фона для показа происхождения, возраста и других особенностей рельефа.</w:t>
      </w:r>
    </w:p>
    <w:p w:rsidR="00355923" w:rsidRPr="00A04886" w:rsidRDefault="00355923" w:rsidP="00A048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55923" w:rsidRPr="00A048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F59EC"/>
    <w:multiLevelType w:val="hybridMultilevel"/>
    <w:tmpl w:val="E95E3E3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1067F7"/>
    <w:multiLevelType w:val="hybridMultilevel"/>
    <w:tmpl w:val="59B2973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A13E4D8C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7151A4"/>
    <w:multiLevelType w:val="hybridMultilevel"/>
    <w:tmpl w:val="A37AFC4C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B67474"/>
    <w:multiLevelType w:val="hybridMultilevel"/>
    <w:tmpl w:val="CDD6311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300346"/>
    <w:multiLevelType w:val="hybridMultilevel"/>
    <w:tmpl w:val="9258E750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4886"/>
    <w:rsid w:val="002A558C"/>
    <w:rsid w:val="00355923"/>
    <w:rsid w:val="00A04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04886"/>
    <w:pPr>
      <w:spacing w:after="0" w:line="240" w:lineRule="auto"/>
      <w:ind w:left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A0488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998</Words>
  <Characters>5689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2012-10-08T07:30:00Z</dcterms:created>
  <dcterms:modified xsi:type="dcterms:W3CDTF">2012-10-08T07:32:00Z</dcterms:modified>
</cp:coreProperties>
</file>